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39" w:rsidRPr="00434022" w:rsidRDefault="00394AE0" w:rsidP="00434022">
      <w:pPr>
        <w:pStyle w:val="NoSpacing"/>
        <w:jc w:val="both"/>
        <w:rPr>
          <w:b/>
          <w:u w:val="single"/>
        </w:rPr>
      </w:pPr>
      <w:r>
        <w:t>You are the tax accountant for Oh Gnome You Didn’t,</w:t>
      </w:r>
      <w:r w:rsidR="00344622">
        <w:t xml:space="preserve"> Inc.</w:t>
      </w:r>
      <w:r w:rsidR="002D227A">
        <w:t xml:space="preserve"> (“Gnome”)</w:t>
      </w:r>
      <w:r w:rsidR="003E4929">
        <w:t xml:space="preserve">, a </w:t>
      </w:r>
      <w:r w:rsidR="00344622">
        <w:t>C-corporation</w:t>
      </w:r>
      <w:r w:rsidR="003E4929">
        <w:t xml:space="preserve"> that </w:t>
      </w:r>
      <w:r>
        <w:t xml:space="preserve">designs and creates unique gnome </w:t>
      </w:r>
      <w:r w:rsidR="00344622">
        <w:t>gardens for its clients.  On May 25</w:t>
      </w:r>
      <w:r w:rsidR="00344622" w:rsidRPr="00344622">
        <w:rPr>
          <w:vertAlign w:val="superscript"/>
        </w:rPr>
        <w:t>th</w:t>
      </w:r>
      <w:r w:rsidR="00344622">
        <w:t>, 2018, Gnome acquired substantially all the</w:t>
      </w:r>
      <w:r w:rsidR="00E7406A">
        <w:t xml:space="preserve"> </w:t>
      </w:r>
      <w:r w:rsidR="00344622">
        <w:t xml:space="preserve">business assets </w:t>
      </w:r>
      <w:r w:rsidR="00E7406A">
        <w:t>of</w:t>
      </w:r>
      <w:r w:rsidR="00344622">
        <w:t xml:space="preserve"> You Better Duck, Inc. (“Duck”).  Duck is a C-corporation t</w:t>
      </w:r>
      <w:r w:rsidR="00132CD9">
        <w:t>hat bathed and groomed</w:t>
      </w:r>
      <w:r w:rsidR="00344622">
        <w:t xml:space="preserve"> pet ducks</w:t>
      </w:r>
      <w:r w:rsidR="00132CD9">
        <w:t xml:space="preserve"> prior to the </w:t>
      </w:r>
      <w:r w:rsidR="004F682C">
        <w:t xml:space="preserve">asset </w:t>
      </w:r>
      <w:r w:rsidR="00132CD9">
        <w:t>sale</w:t>
      </w:r>
      <w:r w:rsidR="004F682C">
        <w:t>.  I</w:t>
      </w:r>
      <w:r w:rsidR="00344622">
        <w:t xml:space="preserve">t is </w:t>
      </w:r>
      <w:r w:rsidR="00650B57">
        <w:t>well-known</w:t>
      </w:r>
      <w:r w:rsidR="00344622">
        <w:t xml:space="preserve"> that 75% of duck aficionados own a gnome garden</w:t>
      </w:r>
      <w:r w:rsidR="004F682C">
        <w:t xml:space="preserve"> </w:t>
      </w:r>
      <w:r w:rsidR="005A6C1C">
        <w:t>because</w:t>
      </w:r>
      <w:r w:rsidR="004F682C">
        <w:t xml:space="preserve"> ducks </w:t>
      </w:r>
      <w:r w:rsidR="005A6C1C">
        <w:t>love to</w:t>
      </w:r>
      <w:r w:rsidR="001C4373">
        <w:t xml:space="preserve"> quack up at the funny-looking gnomes</w:t>
      </w:r>
      <w:r w:rsidR="009E68BC">
        <w:t xml:space="preserve">, so this was a very strategic </w:t>
      </w:r>
      <w:r w:rsidR="00D9494D">
        <w:t xml:space="preserve">business </w:t>
      </w:r>
      <w:r w:rsidR="0025210C">
        <w:t>decision</w:t>
      </w:r>
      <w:r w:rsidR="009E68BC">
        <w:t xml:space="preserve"> for Gnome</w:t>
      </w:r>
      <w:r w:rsidR="00695051">
        <w:t xml:space="preserve">.  </w:t>
      </w:r>
      <w:r w:rsidR="007F1A10">
        <w:t xml:space="preserve">The transition was seamless, and </w:t>
      </w:r>
      <w:r w:rsidR="004F682C">
        <w:t>no duck was forced to stay unkempt for a moment.</w:t>
      </w:r>
    </w:p>
    <w:p w:rsidR="00434022" w:rsidRDefault="00434022" w:rsidP="00434022">
      <w:pPr>
        <w:pStyle w:val="NoSpacing"/>
      </w:pPr>
    </w:p>
    <w:p w:rsidR="0037658F" w:rsidRDefault="00344622" w:rsidP="00434022">
      <w:pPr>
        <w:pStyle w:val="NoSpacing"/>
        <w:jc w:val="both"/>
      </w:pPr>
      <w:r>
        <w:t xml:space="preserve">Gnome paid $1,725,000 to </w:t>
      </w:r>
      <w:r w:rsidR="00F741AF">
        <w:t>acquire Duck’s assets</w:t>
      </w:r>
      <w:r>
        <w:t xml:space="preserve">, of which $690,000 was </w:t>
      </w:r>
      <w:r w:rsidR="0037658F">
        <w:t>allocated to</w:t>
      </w:r>
      <w:r>
        <w:t xml:space="preserve"> the tangible property used to bathe and groom Duck’s feathery clientele.  The remaining $1,035,000 of the purchase price </w:t>
      </w:r>
      <w:r w:rsidR="007768E1">
        <w:t>related to</w:t>
      </w:r>
      <w:r>
        <w:t xml:space="preserve"> Duck’s intangible assets.  </w:t>
      </w:r>
      <w:r w:rsidR="00E7406A">
        <w:t xml:space="preserve">Millie, </w:t>
      </w:r>
      <w:r>
        <w:t>Gnome’s CFO</w:t>
      </w:r>
      <w:r w:rsidR="00E7406A">
        <w:t>,</w:t>
      </w:r>
      <w:r>
        <w:t xml:space="preserve"> </w:t>
      </w:r>
      <w:r w:rsidR="00C64627">
        <w:t xml:space="preserve">is familiar with how to </w:t>
      </w:r>
      <w:r w:rsidR="00737AA8">
        <w:t>allocate the cost of</w:t>
      </w:r>
      <w:r w:rsidR="00C64627">
        <w:t xml:space="preserve"> the</w:t>
      </w:r>
      <w:r w:rsidR="00E7406A">
        <w:t xml:space="preserve"> acquired</w:t>
      </w:r>
      <w:r w:rsidR="00C64627">
        <w:t xml:space="preserve"> i</w:t>
      </w:r>
      <w:r w:rsidR="00E7406A">
        <w:t>ntangible assets under GAAP, and has provi</w:t>
      </w:r>
      <w:r w:rsidR="000B634A">
        <w:t>ded the following table for you to</w:t>
      </w:r>
      <w:r w:rsidR="00E7406A">
        <w:t xml:space="preserve"> reference</w:t>
      </w:r>
      <w:r w:rsidR="00C64627">
        <w:t xml:space="preserve">:   </w:t>
      </w:r>
    </w:p>
    <w:p w:rsidR="00434022" w:rsidRPr="000C1787" w:rsidRDefault="00434022" w:rsidP="00434022">
      <w:pPr>
        <w:pStyle w:val="NoSpacing"/>
      </w:pPr>
    </w:p>
    <w:tbl>
      <w:tblPr>
        <w:tblStyle w:val="TableGrid"/>
        <w:tblW w:w="10326" w:type="dxa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240"/>
        <w:gridCol w:w="1332"/>
        <w:gridCol w:w="2908"/>
        <w:gridCol w:w="2846"/>
      </w:tblGrid>
      <w:tr w:rsidR="00C64627" w:rsidTr="001A0AD7">
        <w:trPr>
          <w:jc w:val="center"/>
        </w:trPr>
        <w:tc>
          <w:tcPr>
            <w:tcW w:w="3240" w:type="dxa"/>
            <w:shd w:val="clear" w:color="auto" w:fill="DBDBDB" w:themeFill="accent3" w:themeFillTint="66"/>
            <w:vAlign w:val="center"/>
          </w:tcPr>
          <w:p w:rsidR="00C64627" w:rsidRPr="00C64627" w:rsidRDefault="00C64627" w:rsidP="00C64627">
            <w:pPr>
              <w:jc w:val="center"/>
              <w:rPr>
                <w:b/>
              </w:rPr>
            </w:pPr>
            <w:bookmarkStart w:id="0" w:name="_Hlk513551347"/>
            <w:r w:rsidRPr="00C64627">
              <w:rPr>
                <w:b/>
              </w:rPr>
              <w:t xml:space="preserve">Type of Intangible </w:t>
            </w:r>
          </w:p>
        </w:tc>
        <w:tc>
          <w:tcPr>
            <w:tcW w:w="1332" w:type="dxa"/>
            <w:shd w:val="clear" w:color="auto" w:fill="DBDBDB" w:themeFill="accent3" w:themeFillTint="66"/>
            <w:vAlign w:val="center"/>
          </w:tcPr>
          <w:p w:rsidR="00C64627" w:rsidRPr="00C64627" w:rsidRDefault="00F741AF" w:rsidP="00C64627">
            <w:pPr>
              <w:jc w:val="center"/>
              <w:rPr>
                <w:b/>
              </w:rPr>
            </w:pPr>
            <w:r>
              <w:rPr>
                <w:b/>
              </w:rPr>
              <w:t>Adjusted Basis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Pr="008218EE" w:rsidRDefault="00E7406A" w:rsidP="00C64627">
            <w:pPr>
              <w:jc w:val="center"/>
              <w:rPr>
                <w:b/>
              </w:rPr>
            </w:pPr>
            <w:r>
              <w:rPr>
                <w:b/>
              </w:rPr>
              <w:t>Cost Allocation Method</w:t>
            </w:r>
            <w:r w:rsidR="001A0AD7">
              <w:rPr>
                <w:b/>
              </w:rPr>
              <w:t xml:space="preserve"> – GAAP 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Pr="008218EE" w:rsidRDefault="000C1787" w:rsidP="00C64627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="00737AA8">
              <w:rPr>
                <w:b/>
              </w:rPr>
              <w:t xml:space="preserve">GAAP </w:t>
            </w:r>
            <w:r>
              <w:rPr>
                <w:b/>
              </w:rPr>
              <w:t>Amortization Expense</w:t>
            </w:r>
          </w:p>
        </w:tc>
      </w:tr>
      <w:tr w:rsidR="007768E1" w:rsidTr="001A0AD7">
        <w:trPr>
          <w:jc w:val="center"/>
        </w:trPr>
        <w:tc>
          <w:tcPr>
            <w:tcW w:w="3240" w:type="dxa"/>
            <w:shd w:val="clear" w:color="auto" w:fill="E2EFD9" w:themeFill="accent6" w:themeFillTint="33"/>
            <w:vAlign w:val="center"/>
          </w:tcPr>
          <w:p w:rsidR="00C64627" w:rsidRDefault="008F5DA7" w:rsidP="00C64627">
            <w:pPr>
              <w:jc w:val="center"/>
            </w:pPr>
            <w:r>
              <w:t xml:space="preserve">3-year exclusive agreement with Ducks ‘R Us, a reputable supplier of duck cleaning products </w:t>
            </w: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:rsidR="00C64627" w:rsidRDefault="008F5DA7" w:rsidP="008F5DA7">
            <w:pPr>
              <w:jc w:val="center"/>
            </w:pPr>
            <w:r>
              <w:t>$93,000</w:t>
            </w:r>
          </w:p>
        </w:tc>
        <w:tc>
          <w:tcPr>
            <w:tcW w:w="2908" w:type="dxa"/>
            <w:shd w:val="clear" w:color="auto" w:fill="E2EFD9" w:themeFill="accent6" w:themeFillTint="33"/>
            <w:vAlign w:val="center"/>
          </w:tcPr>
          <w:p w:rsidR="00C64627" w:rsidRDefault="000C1787" w:rsidP="008F5DA7">
            <w:pPr>
              <w:jc w:val="center"/>
            </w:pPr>
            <w:r>
              <w:t xml:space="preserve">Amortize over 36 months, beginning with </w:t>
            </w:r>
            <w:r w:rsidR="007768E1">
              <w:t>June</w:t>
            </w:r>
            <w:r>
              <w:t xml:space="preserve"> 2018</w:t>
            </w:r>
          </w:p>
        </w:tc>
        <w:tc>
          <w:tcPr>
            <w:tcW w:w="2846" w:type="dxa"/>
            <w:shd w:val="clear" w:color="auto" w:fill="E2EFD9" w:themeFill="accent6" w:themeFillTint="33"/>
            <w:vAlign w:val="center"/>
          </w:tcPr>
          <w:p w:rsidR="00C64627" w:rsidRDefault="000C1787" w:rsidP="008F5DA7">
            <w:pPr>
              <w:jc w:val="center"/>
            </w:pPr>
            <w:r>
              <w:t xml:space="preserve">$93,000/36 months * </w:t>
            </w:r>
            <w:r w:rsidR="007768E1">
              <w:t>7</w:t>
            </w:r>
            <w:r>
              <w:t xml:space="preserve"> months in 2018 = </w:t>
            </w:r>
            <w:r w:rsidR="007768E1">
              <w:rPr>
                <w:b/>
                <w:color w:val="4472C4" w:themeColor="accent1"/>
                <w:u w:val="single"/>
              </w:rPr>
              <w:t>18,083</w:t>
            </w:r>
          </w:p>
        </w:tc>
      </w:tr>
      <w:tr w:rsidR="00C64627" w:rsidTr="001A0AD7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Default="00C64627" w:rsidP="00C64627">
            <w:pPr>
              <w:jc w:val="center"/>
            </w:pPr>
            <w:r>
              <w:t>Patent</w:t>
            </w:r>
            <w:r w:rsidR="008B17A3">
              <w:t xml:space="preserve"> for the Clean “Bill” of Health bathing process invented by Donald, Duck’s founder (expires in 16</w:t>
            </w:r>
            <w:r>
              <w:t xml:space="preserve"> years)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Default="008B17A3" w:rsidP="008F5DA7">
            <w:pPr>
              <w:jc w:val="center"/>
            </w:pPr>
            <w:r>
              <w:t>25</w:t>
            </w:r>
            <w:r w:rsidR="008F5DA7">
              <w:t>,000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Default="008B17A3" w:rsidP="008F5DA7">
            <w:pPr>
              <w:jc w:val="center"/>
            </w:pPr>
            <w:r>
              <w:t>Amortize over 192</w:t>
            </w:r>
            <w:r w:rsidR="000C1787">
              <w:t xml:space="preserve"> months, beginning with </w:t>
            </w:r>
            <w:r w:rsidR="007768E1">
              <w:t>June</w:t>
            </w:r>
            <w:r w:rsidR="000C1787">
              <w:t xml:space="preserve"> 2018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Default="008B17A3" w:rsidP="008F5DA7">
            <w:pPr>
              <w:jc w:val="center"/>
            </w:pPr>
            <w:r>
              <w:t>$25,000/192</w:t>
            </w:r>
            <w:r w:rsidR="007768E1">
              <w:t xml:space="preserve"> months * 7</w:t>
            </w:r>
            <w:r w:rsidR="000C1787">
              <w:t xml:space="preserve"> months in 2018 = </w:t>
            </w:r>
            <w:r>
              <w:rPr>
                <w:b/>
                <w:color w:val="4472C4" w:themeColor="accent1"/>
                <w:u w:val="single"/>
              </w:rPr>
              <w:t>911</w:t>
            </w:r>
          </w:p>
        </w:tc>
      </w:tr>
      <w:tr w:rsidR="00C64627" w:rsidTr="001A0AD7">
        <w:trPr>
          <w:jc w:val="center"/>
        </w:trPr>
        <w:tc>
          <w:tcPr>
            <w:tcW w:w="3240" w:type="dxa"/>
            <w:shd w:val="clear" w:color="auto" w:fill="E2EFD9" w:themeFill="accent6" w:themeFillTint="33"/>
            <w:vAlign w:val="center"/>
          </w:tcPr>
          <w:p w:rsidR="00C64627" w:rsidRDefault="00C64627" w:rsidP="00C64627">
            <w:pPr>
              <w:jc w:val="center"/>
            </w:pPr>
            <w:r>
              <w:t xml:space="preserve">2-year Employment Agreement with the </w:t>
            </w:r>
            <w:r w:rsidR="008F5DA7">
              <w:t xml:space="preserve">#1 duck </w:t>
            </w:r>
            <w:r w:rsidR="0037658F">
              <w:t>whisperer</w:t>
            </w:r>
            <w:r w:rsidR="008F5DA7">
              <w:t xml:space="preserve"> in the </w:t>
            </w:r>
            <w:r w:rsidR="0037658F">
              <w:t>known universe</w:t>
            </w: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:rsidR="00C64627" w:rsidRDefault="008F5DA7" w:rsidP="008F5DA7">
            <w:pPr>
              <w:jc w:val="center"/>
            </w:pPr>
            <w:r>
              <w:t>260,000</w:t>
            </w:r>
          </w:p>
        </w:tc>
        <w:tc>
          <w:tcPr>
            <w:tcW w:w="2908" w:type="dxa"/>
            <w:shd w:val="clear" w:color="auto" w:fill="E2EFD9" w:themeFill="accent6" w:themeFillTint="33"/>
            <w:vAlign w:val="center"/>
          </w:tcPr>
          <w:p w:rsidR="00C64627" w:rsidRDefault="000C1787" w:rsidP="008F5DA7">
            <w:pPr>
              <w:jc w:val="center"/>
            </w:pPr>
            <w:r>
              <w:t xml:space="preserve">Amortize over 24 months, beginning with </w:t>
            </w:r>
            <w:r w:rsidR="007768E1">
              <w:t>June</w:t>
            </w:r>
            <w:r>
              <w:t xml:space="preserve"> 2018</w:t>
            </w:r>
          </w:p>
        </w:tc>
        <w:tc>
          <w:tcPr>
            <w:tcW w:w="2846" w:type="dxa"/>
            <w:shd w:val="clear" w:color="auto" w:fill="E2EFD9" w:themeFill="accent6" w:themeFillTint="33"/>
            <w:vAlign w:val="center"/>
          </w:tcPr>
          <w:p w:rsidR="00C64627" w:rsidRDefault="007768E1" w:rsidP="008F5DA7">
            <w:pPr>
              <w:jc w:val="center"/>
            </w:pPr>
            <w:r>
              <w:t>$260,000/24 months * 7</w:t>
            </w:r>
            <w:r w:rsidR="000C1787">
              <w:t xml:space="preserve"> months in 2018 = </w:t>
            </w:r>
            <w:r>
              <w:rPr>
                <w:b/>
                <w:color w:val="4472C4" w:themeColor="accent1"/>
                <w:u w:val="single"/>
              </w:rPr>
              <w:t>75,833</w:t>
            </w:r>
          </w:p>
        </w:tc>
      </w:tr>
      <w:tr w:rsidR="001A0AD7" w:rsidTr="001A0AD7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Default="00C64627" w:rsidP="00C64627">
            <w:pPr>
              <w:jc w:val="center"/>
            </w:pPr>
            <w:r>
              <w:t>Goodwill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Default="008B17A3" w:rsidP="008F5DA7">
            <w:pPr>
              <w:jc w:val="center"/>
            </w:pPr>
            <w:r>
              <w:t>657</w:t>
            </w:r>
            <w:r w:rsidR="008F5DA7">
              <w:t>,000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Default="000C1787" w:rsidP="008F5DA7">
            <w:pPr>
              <w:jc w:val="center"/>
            </w:pPr>
            <w:r>
              <w:t>Not amortizable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C64627" w:rsidRPr="007768E1" w:rsidRDefault="007768E1" w:rsidP="008F5DA7">
            <w:pPr>
              <w:jc w:val="center"/>
              <w:rPr>
                <w:b/>
                <w:color w:val="4472C4" w:themeColor="accent1"/>
                <w:u w:val="single"/>
              </w:rPr>
            </w:pPr>
            <w:r>
              <w:rPr>
                <w:b/>
                <w:color w:val="4472C4" w:themeColor="accent1"/>
                <w:u w:val="single"/>
              </w:rPr>
              <w:t>Not Applicable</w:t>
            </w:r>
          </w:p>
        </w:tc>
      </w:tr>
      <w:tr w:rsidR="007768E1" w:rsidRPr="007768E1" w:rsidTr="001A0AD7">
        <w:trPr>
          <w:jc w:val="center"/>
        </w:trPr>
        <w:tc>
          <w:tcPr>
            <w:tcW w:w="3240" w:type="dxa"/>
            <w:shd w:val="clear" w:color="auto" w:fill="A8D08D" w:themeFill="accent6" w:themeFillTint="99"/>
            <w:vAlign w:val="center"/>
          </w:tcPr>
          <w:p w:rsidR="007768E1" w:rsidRPr="001A0AD7" w:rsidRDefault="001A0AD7" w:rsidP="00C64627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Summary</w:t>
            </w:r>
          </w:p>
        </w:tc>
        <w:tc>
          <w:tcPr>
            <w:tcW w:w="1332" w:type="dxa"/>
            <w:shd w:val="clear" w:color="auto" w:fill="A8D08D" w:themeFill="accent6" w:themeFillTint="99"/>
            <w:vAlign w:val="center"/>
          </w:tcPr>
          <w:p w:rsidR="007768E1" w:rsidRPr="001A0AD7" w:rsidRDefault="007768E1" w:rsidP="008F5DA7">
            <w:pPr>
              <w:jc w:val="center"/>
              <w:rPr>
                <w:b/>
                <w:color w:val="4472C4" w:themeColor="accent1"/>
                <w:sz w:val="24"/>
                <w:szCs w:val="24"/>
                <w:u w:val="double"/>
              </w:rPr>
            </w:pPr>
            <w:r w:rsidRPr="001A0AD7">
              <w:rPr>
                <w:b/>
                <w:color w:val="4472C4" w:themeColor="accent1"/>
                <w:sz w:val="24"/>
                <w:szCs w:val="24"/>
                <w:u w:val="double"/>
              </w:rPr>
              <w:t>$1,035,000</w:t>
            </w:r>
          </w:p>
        </w:tc>
        <w:tc>
          <w:tcPr>
            <w:tcW w:w="2908" w:type="dxa"/>
            <w:shd w:val="clear" w:color="auto" w:fill="A8D08D" w:themeFill="accent6" w:themeFillTint="99"/>
            <w:vAlign w:val="center"/>
          </w:tcPr>
          <w:p w:rsidR="007768E1" w:rsidRPr="001A0AD7" w:rsidRDefault="007768E1" w:rsidP="008F5DA7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8D08D" w:themeFill="accent6" w:themeFillTint="99"/>
            <w:vAlign w:val="center"/>
          </w:tcPr>
          <w:p w:rsidR="007768E1" w:rsidRPr="001A0AD7" w:rsidRDefault="008B17A3" w:rsidP="008F5DA7">
            <w:pPr>
              <w:jc w:val="center"/>
              <w:rPr>
                <w:b/>
                <w:color w:val="4472C4" w:themeColor="accent1"/>
                <w:sz w:val="24"/>
                <w:szCs w:val="24"/>
                <w:u w:val="double"/>
              </w:rPr>
            </w:pPr>
            <w:r>
              <w:rPr>
                <w:b/>
                <w:color w:val="4472C4" w:themeColor="accent1"/>
                <w:sz w:val="24"/>
                <w:szCs w:val="24"/>
                <w:u w:val="double"/>
              </w:rPr>
              <w:t>$94,827</w:t>
            </w:r>
          </w:p>
        </w:tc>
      </w:tr>
      <w:bookmarkEnd w:id="0"/>
    </w:tbl>
    <w:p w:rsidR="00E7406A" w:rsidRDefault="00E7406A" w:rsidP="00E7406A">
      <w:pPr>
        <w:pStyle w:val="NoSpacing"/>
      </w:pPr>
    </w:p>
    <w:p w:rsidR="00E7406A" w:rsidRPr="00434022" w:rsidRDefault="00F741AF" w:rsidP="00434022">
      <w:pPr>
        <w:pStyle w:val="NoSpacing"/>
        <w:jc w:val="both"/>
      </w:pPr>
      <w:r w:rsidRPr="00434022">
        <w:t xml:space="preserve">Millie </w:t>
      </w:r>
      <w:r w:rsidR="00E7406A" w:rsidRPr="00434022">
        <w:t xml:space="preserve">has asked you to </w:t>
      </w:r>
      <w:r w:rsidRPr="00434022">
        <w:t>complete a similar table of information from an</w:t>
      </w:r>
      <w:r w:rsidR="00E7406A" w:rsidRPr="00434022">
        <w:t xml:space="preserve"> income tax perspective</w:t>
      </w:r>
      <w:r w:rsidRPr="00434022">
        <w:t>, and has provided an incomplete version as seen below</w:t>
      </w:r>
      <w:r w:rsidR="00E7406A" w:rsidRPr="00434022">
        <w:t>.  She is certain Gnome’s tax return is likely to be audited by the IRS, so she wants to make sure you provide proper citations that substantiate your conclusions</w:t>
      </w:r>
      <w:r w:rsidR="00DA1F54">
        <w:t xml:space="preserve"> in the cost allocation method column</w:t>
      </w:r>
      <w:r w:rsidR="00E7406A" w:rsidRPr="00434022">
        <w:t>.</w:t>
      </w:r>
      <w:bookmarkStart w:id="1" w:name="_GoBack"/>
      <w:bookmarkEnd w:id="1"/>
    </w:p>
    <w:p w:rsidR="001A0AD7" w:rsidRDefault="001A0AD7" w:rsidP="00E7406A">
      <w:pPr>
        <w:pStyle w:val="NoSpacing"/>
      </w:pPr>
    </w:p>
    <w:tbl>
      <w:tblPr>
        <w:tblStyle w:val="TableGrid"/>
        <w:tblW w:w="10326" w:type="dxa"/>
        <w:jc w:val="center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3240"/>
        <w:gridCol w:w="1332"/>
        <w:gridCol w:w="2908"/>
        <w:gridCol w:w="2846"/>
      </w:tblGrid>
      <w:tr w:rsidR="001A0AD7" w:rsidTr="00F14FB7">
        <w:trPr>
          <w:jc w:val="center"/>
        </w:trPr>
        <w:tc>
          <w:tcPr>
            <w:tcW w:w="3240" w:type="dxa"/>
            <w:shd w:val="clear" w:color="auto" w:fill="DBDBDB" w:themeFill="accent3" w:themeFillTint="66"/>
            <w:vAlign w:val="center"/>
          </w:tcPr>
          <w:p w:rsidR="001A0AD7" w:rsidRPr="00C64627" w:rsidRDefault="001A0AD7" w:rsidP="00F14FB7">
            <w:pPr>
              <w:jc w:val="center"/>
              <w:rPr>
                <w:b/>
              </w:rPr>
            </w:pPr>
            <w:r w:rsidRPr="00C64627">
              <w:rPr>
                <w:b/>
              </w:rPr>
              <w:t xml:space="preserve">Type of Intangible </w:t>
            </w:r>
          </w:p>
        </w:tc>
        <w:tc>
          <w:tcPr>
            <w:tcW w:w="1332" w:type="dxa"/>
            <w:shd w:val="clear" w:color="auto" w:fill="DBDBDB" w:themeFill="accent3" w:themeFillTint="66"/>
            <w:vAlign w:val="center"/>
          </w:tcPr>
          <w:p w:rsidR="001A0AD7" w:rsidRPr="00C64627" w:rsidRDefault="00F741AF" w:rsidP="00F14FB7">
            <w:pPr>
              <w:jc w:val="center"/>
              <w:rPr>
                <w:b/>
              </w:rPr>
            </w:pPr>
            <w:r>
              <w:rPr>
                <w:b/>
              </w:rPr>
              <w:t>Adjusted Basis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Pr="008218EE" w:rsidRDefault="001A0AD7" w:rsidP="00F14FB7">
            <w:pPr>
              <w:jc w:val="center"/>
              <w:rPr>
                <w:b/>
              </w:rPr>
            </w:pPr>
            <w:r>
              <w:rPr>
                <w:b/>
              </w:rPr>
              <w:t xml:space="preserve">Cost Allocation Method – </w:t>
            </w:r>
            <w:r>
              <w:rPr>
                <w:b/>
              </w:rPr>
              <w:t>Income Tax</w:t>
            </w:r>
            <w:r>
              <w:rPr>
                <w:b/>
              </w:rPr>
              <w:t xml:space="preserve"> 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Pr="008218EE" w:rsidRDefault="001A0AD7" w:rsidP="00F14FB7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>
              <w:rPr>
                <w:b/>
              </w:rPr>
              <w:t>Income Tax</w:t>
            </w:r>
            <w:r>
              <w:rPr>
                <w:b/>
              </w:rPr>
              <w:t xml:space="preserve"> Amortization Expense</w:t>
            </w:r>
          </w:p>
        </w:tc>
      </w:tr>
      <w:tr w:rsidR="001A0AD7" w:rsidTr="00F14FB7">
        <w:trPr>
          <w:jc w:val="center"/>
        </w:trPr>
        <w:tc>
          <w:tcPr>
            <w:tcW w:w="3240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  <w:r>
              <w:t xml:space="preserve">3-year exclusive agreement with Ducks ‘R Us, a reputable supplier of duck cleaning products </w:t>
            </w: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  <w:r>
              <w:t>$93,000</w:t>
            </w:r>
          </w:p>
        </w:tc>
        <w:tc>
          <w:tcPr>
            <w:tcW w:w="2908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</w:p>
        </w:tc>
        <w:tc>
          <w:tcPr>
            <w:tcW w:w="2846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</w:p>
        </w:tc>
      </w:tr>
      <w:tr w:rsidR="001A0AD7" w:rsidTr="00F14FB7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Default="00FF30DF" w:rsidP="00F14FB7">
            <w:pPr>
              <w:jc w:val="center"/>
            </w:pPr>
            <w:r>
              <w:t>Patent for the Clean “Bill” of Health bathing process invented by Donald, Duck’s founder (expires in 16 years)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Default="005A6C1C" w:rsidP="00F14FB7">
            <w:pPr>
              <w:jc w:val="center"/>
            </w:pPr>
            <w:r>
              <w:t>25</w:t>
            </w:r>
            <w:r w:rsidR="001A0AD7">
              <w:t>,000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Default="001A0AD7" w:rsidP="00F14FB7">
            <w:pPr>
              <w:jc w:val="center"/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Default="001A0AD7" w:rsidP="00F14FB7">
            <w:pPr>
              <w:jc w:val="center"/>
            </w:pPr>
          </w:p>
        </w:tc>
      </w:tr>
      <w:tr w:rsidR="001A0AD7" w:rsidTr="00F14FB7">
        <w:trPr>
          <w:jc w:val="center"/>
        </w:trPr>
        <w:tc>
          <w:tcPr>
            <w:tcW w:w="3240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  <w:r>
              <w:t>2-year Employment Agreement with the #1 duck whisperer in the known universe</w:t>
            </w:r>
          </w:p>
        </w:tc>
        <w:tc>
          <w:tcPr>
            <w:tcW w:w="1332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  <w:r>
              <w:t>260,000</w:t>
            </w:r>
          </w:p>
        </w:tc>
        <w:tc>
          <w:tcPr>
            <w:tcW w:w="2908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</w:p>
        </w:tc>
        <w:tc>
          <w:tcPr>
            <w:tcW w:w="2846" w:type="dxa"/>
            <w:shd w:val="clear" w:color="auto" w:fill="E2EFD9" w:themeFill="accent6" w:themeFillTint="33"/>
            <w:vAlign w:val="center"/>
          </w:tcPr>
          <w:p w:rsidR="001A0AD7" w:rsidRDefault="001A0AD7" w:rsidP="00F14FB7">
            <w:pPr>
              <w:jc w:val="center"/>
            </w:pPr>
          </w:p>
        </w:tc>
      </w:tr>
      <w:tr w:rsidR="001A0AD7" w:rsidTr="00F14FB7">
        <w:trPr>
          <w:jc w:val="center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Default="001A0AD7" w:rsidP="00F14FB7">
            <w:pPr>
              <w:jc w:val="center"/>
            </w:pPr>
            <w:r>
              <w:t>Goodwill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Default="005A6C1C" w:rsidP="00F14FB7">
            <w:pPr>
              <w:jc w:val="center"/>
            </w:pPr>
            <w:r>
              <w:t>657</w:t>
            </w:r>
            <w:r w:rsidR="001A0AD7">
              <w:t>,000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Default="001A0AD7" w:rsidP="00F14FB7">
            <w:pPr>
              <w:jc w:val="center"/>
            </w:pP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A0AD7" w:rsidRPr="007768E1" w:rsidRDefault="001A0AD7" w:rsidP="00F14FB7">
            <w:pPr>
              <w:jc w:val="center"/>
              <w:rPr>
                <w:b/>
                <w:color w:val="4472C4" w:themeColor="accent1"/>
                <w:u w:val="single"/>
              </w:rPr>
            </w:pPr>
          </w:p>
        </w:tc>
      </w:tr>
      <w:tr w:rsidR="001A0AD7" w:rsidRPr="007768E1" w:rsidTr="00F14FB7">
        <w:trPr>
          <w:jc w:val="center"/>
        </w:trPr>
        <w:tc>
          <w:tcPr>
            <w:tcW w:w="3240" w:type="dxa"/>
            <w:shd w:val="clear" w:color="auto" w:fill="A8D08D" w:themeFill="accent6" w:themeFillTint="99"/>
            <w:vAlign w:val="center"/>
          </w:tcPr>
          <w:p w:rsidR="001A0AD7" w:rsidRPr="001A0AD7" w:rsidRDefault="001A0AD7" w:rsidP="00F14FB7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Summary</w:t>
            </w:r>
          </w:p>
        </w:tc>
        <w:tc>
          <w:tcPr>
            <w:tcW w:w="1332" w:type="dxa"/>
            <w:shd w:val="clear" w:color="auto" w:fill="A8D08D" w:themeFill="accent6" w:themeFillTint="99"/>
            <w:vAlign w:val="center"/>
          </w:tcPr>
          <w:p w:rsidR="001A0AD7" w:rsidRPr="001A0AD7" w:rsidRDefault="001A0AD7" w:rsidP="00F14FB7">
            <w:pPr>
              <w:jc w:val="center"/>
              <w:rPr>
                <w:b/>
                <w:color w:val="4472C4" w:themeColor="accent1"/>
                <w:sz w:val="24"/>
                <w:szCs w:val="24"/>
                <w:u w:val="double"/>
              </w:rPr>
            </w:pPr>
            <w:r w:rsidRPr="001A0AD7">
              <w:rPr>
                <w:b/>
                <w:color w:val="4472C4" w:themeColor="accent1"/>
                <w:sz w:val="24"/>
                <w:szCs w:val="24"/>
                <w:u w:val="double"/>
              </w:rPr>
              <w:t>$1,035,000</w:t>
            </w:r>
          </w:p>
        </w:tc>
        <w:tc>
          <w:tcPr>
            <w:tcW w:w="2908" w:type="dxa"/>
            <w:shd w:val="clear" w:color="auto" w:fill="A8D08D" w:themeFill="accent6" w:themeFillTint="99"/>
            <w:vAlign w:val="center"/>
          </w:tcPr>
          <w:p w:rsidR="001A0AD7" w:rsidRPr="001A0AD7" w:rsidRDefault="001A0AD7" w:rsidP="00F14FB7">
            <w:pPr>
              <w:jc w:val="center"/>
              <w:rPr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2846" w:type="dxa"/>
            <w:shd w:val="clear" w:color="auto" w:fill="A8D08D" w:themeFill="accent6" w:themeFillTint="99"/>
            <w:vAlign w:val="center"/>
          </w:tcPr>
          <w:p w:rsidR="001A0AD7" w:rsidRPr="001A0AD7" w:rsidRDefault="001A0AD7" w:rsidP="00F14FB7">
            <w:pPr>
              <w:jc w:val="center"/>
              <w:rPr>
                <w:b/>
                <w:color w:val="4472C4" w:themeColor="accent1"/>
                <w:sz w:val="24"/>
                <w:szCs w:val="24"/>
                <w:u w:val="double"/>
              </w:rPr>
            </w:pPr>
          </w:p>
        </w:tc>
      </w:tr>
    </w:tbl>
    <w:p w:rsidR="001A0AD7" w:rsidRPr="00394AE0" w:rsidRDefault="001A0AD7" w:rsidP="00E7406A">
      <w:pPr>
        <w:pStyle w:val="NoSpacing"/>
      </w:pPr>
    </w:p>
    <w:sectPr w:rsidR="001A0AD7" w:rsidRPr="0039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2F" w:rsidRDefault="0043042F" w:rsidP="00434022">
      <w:pPr>
        <w:spacing w:after="0" w:line="240" w:lineRule="auto"/>
      </w:pPr>
      <w:r>
        <w:separator/>
      </w:r>
    </w:p>
  </w:endnote>
  <w:endnote w:type="continuationSeparator" w:id="0">
    <w:p w:rsidR="0043042F" w:rsidRDefault="0043042F" w:rsidP="0043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2F" w:rsidRDefault="0043042F" w:rsidP="00434022">
      <w:pPr>
        <w:spacing w:after="0" w:line="240" w:lineRule="auto"/>
      </w:pPr>
      <w:r>
        <w:separator/>
      </w:r>
    </w:p>
  </w:footnote>
  <w:footnote w:type="continuationSeparator" w:id="0">
    <w:p w:rsidR="0043042F" w:rsidRDefault="0043042F" w:rsidP="0043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EB"/>
    <w:multiLevelType w:val="hybridMultilevel"/>
    <w:tmpl w:val="8C786B2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0"/>
    <w:rsid w:val="00043562"/>
    <w:rsid w:val="000616A7"/>
    <w:rsid w:val="000B1F9B"/>
    <w:rsid w:val="000B634A"/>
    <w:rsid w:val="000C1787"/>
    <w:rsid w:val="000F40AE"/>
    <w:rsid w:val="00130B22"/>
    <w:rsid w:val="00132CD9"/>
    <w:rsid w:val="001A0AD7"/>
    <w:rsid w:val="001B4875"/>
    <w:rsid w:val="001C3DA5"/>
    <w:rsid w:val="001C4373"/>
    <w:rsid w:val="001C458B"/>
    <w:rsid w:val="001D262E"/>
    <w:rsid w:val="001E287D"/>
    <w:rsid w:val="0025210C"/>
    <w:rsid w:val="00263EAE"/>
    <w:rsid w:val="0026526B"/>
    <w:rsid w:val="002B2313"/>
    <w:rsid w:val="002D227A"/>
    <w:rsid w:val="00321A18"/>
    <w:rsid w:val="00344622"/>
    <w:rsid w:val="0037658F"/>
    <w:rsid w:val="00394AE0"/>
    <w:rsid w:val="003C7AF1"/>
    <w:rsid w:val="003E4929"/>
    <w:rsid w:val="0043042F"/>
    <w:rsid w:val="00434022"/>
    <w:rsid w:val="00452EA5"/>
    <w:rsid w:val="0048393C"/>
    <w:rsid w:val="004F682C"/>
    <w:rsid w:val="00500DA6"/>
    <w:rsid w:val="00572439"/>
    <w:rsid w:val="005A6C1C"/>
    <w:rsid w:val="005D3B19"/>
    <w:rsid w:val="0060234B"/>
    <w:rsid w:val="00647EC8"/>
    <w:rsid w:val="00650B57"/>
    <w:rsid w:val="006570DF"/>
    <w:rsid w:val="00663D04"/>
    <w:rsid w:val="00685ADA"/>
    <w:rsid w:val="00695051"/>
    <w:rsid w:val="006E2603"/>
    <w:rsid w:val="00737AA8"/>
    <w:rsid w:val="007569CD"/>
    <w:rsid w:val="007768E1"/>
    <w:rsid w:val="00793C47"/>
    <w:rsid w:val="007A7982"/>
    <w:rsid w:val="007F1A10"/>
    <w:rsid w:val="00807613"/>
    <w:rsid w:val="008218EE"/>
    <w:rsid w:val="00834E28"/>
    <w:rsid w:val="008B17A3"/>
    <w:rsid w:val="008C7805"/>
    <w:rsid w:val="008E2925"/>
    <w:rsid w:val="008F5DA7"/>
    <w:rsid w:val="00911FAF"/>
    <w:rsid w:val="009204DA"/>
    <w:rsid w:val="00934F2B"/>
    <w:rsid w:val="00991D9B"/>
    <w:rsid w:val="009A7D92"/>
    <w:rsid w:val="009E01B9"/>
    <w:rsid w:val="009E68BC"/>
    <w:rsid w:val="00AC7B39"/>
    <w:rsid w:val="00B046E6"/>
    <w:rsid w:val="00B44504"/>
    <w:rsid w:val="00B8198B"/>
    <w:rsid w:val="00BB4925"/>
    <w:rsid w:val="00BE3695"/>
    <w:rsid w:val="00BE427B"/>
    <w:rsid w:val="00BE51E7"/>
    <w:rsid w:val="00BF42A8"/>
    <w:rsid w:val="00C017D0"/>
    <w:rsid w:val="00C01E16"/>
    <w:rsid w:val="00C07223"/>
    <w:rsid w:val="00C302C1"/>
    <w:rsid w:val="00C46493"/>
    <w:rsid w:val="00C64627"/>
    <w:rsid w:val="00C90C3F"/>
    <w:rsid w:val="00C927A9"/>
    <w:rsid w:val="00CF3F8B"/>
    <w:rsid w:val="00D265E5"/>
    <w:rsid w:val="00D46875"/>
    <w:rsid w:val="00D65B82"/>
    <w:rsid w:val="00D9494D"/>
    <w:rsid w:val="00DA1F54"/>
    <w:rsid w:val="00E264E1"/>
    <w:rsid w:val="00E5406C"/>
    <w:rsid w:val="00E7406A"/>
    <w:rsid w:val="00E861F0"/>
    <w:rsid w:val="00F47E6E"/>
    <w:rsid w:val="00F50E66"/>
    <w:rsid w:val="00F545B5"/>
    <w:rsid w:val="00F61D44"/>
    <w:rsid w:val="00F741AF"/>
    <w:rsid w:val="00FB0635"/>
    <w:rsid w:val="00FB5721"/>
    <w:rsid w:val="00FC2C48"/>
    <w:rsid w:val="00FD126A"/>
    <w:rsid w:val="00FF216E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6FAD"/>
  <w15:chartTrackingRefBased/>
  <w15:docId w15:val="{DCB61440-9446-4253-8BF2-E7B366D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6C"/>
    <w:pPr>
      <w:ind w:left="720"/>
      <w:contextualSpacing/>
    </w:pPr>
  </w:style>
  <w:style w:type="table" w:styleId="TableGrid">
    <w:name w:val="Table Grid"/>
    <w:basedOn w:val="TableNormal"/>
    <w:uiPriority w:val="39"/>
    <w:rsid w:val="0082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40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22"/>
  </w:style>
  <w:style w:type="paragraph" w:styleId="Footer">
    <w:name w:val="footer"/>
    <w:basedOn w:val="Normal"/>
    <w:link w:val="FooterChar"/>
    <w:uiPriority w:val="99"/>
    <w:unhideWhenUsed/>
    <w:rsid w:val="00434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Chowning</dc:creator>
  <cp:keywords/>
  <dc:description/>
  <cp:lastModifiedBy>Katy Chowning</cp:lastModifiedBy>
  <cp:revision>22</cp:revision>
  <dcterms:created xsi:type="dcterms:W3CDTF">2018-05-08T18:42:00Z</dcterms:created>
  <dcterms:modified xsi:type="dcterms:W3CDTF">2018-05-08T19:41:00Z</dcterms:modified>
</cp:coreProperties>
</file>